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1F" w:rsidRDefault="008E641F" w:rsidP="008E641F">
      <w:pPr>
        <w:shd w:val="clear" w:color="auto" w:fill="FFFFFF"/>
        <w:ind w:firstLine="709"/>
        <w:rPr>
          <w:color w:val="000000"/>
          <w:sz w:val="18"/>
          <w:szCs w:val="18"/>
        </w:rPr>
      </w:pPr>
      <w:r w:rsidRPr="008E641F">
        <w:rPr>
          <w:color w:val="000000"/>
          <w:sz w:val="18"/>
          <w:szCs w:val="18"/>
        </w:rPr>
        <w:drawing>
          <wp:inline distT="0" distB="0" distL="0" distR="0">
            <wp:extent cx="2352675" cy="971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41F" w:rsidRPr="00FF4446" w:rsidRDefault="008E641F" w:rsidP="008E641F">
      <w:pPr>
        <w:shd w:val="clear" w:color="auto" w:fill="FFFFFF"/>
        <w:ind w:firstLine="709"/>
        <w:jc w:val="center"/>
        <w:rPr>
          <w:color w:val="000000"/>
          <w:sz w:val="18"/>
          <w:szCs w:val="18"/>
        </w:rPr>
      </w:pPr>
      <w:r w:rsidRPr="00FF4446">
        <w:rPr>
          <w:color w:val="000000"/>
          <w:sz w:val="18"/>
          <w:szCs w:val="18"/>
        </w:rPr>
        <w:t>Владельцы недвижимости могут повлиять на ее кадастровую стоимость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Зачастую собственники, пользователи, арендаторы считают, что кадастровая стоимость их объектов недвижимости завышена. В таком случае они могут её оспорить в Комиссии по рассмотрению споров о результатах определения кадастровой стоимости, действующей при Управлении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по Новосибирской области.</w:t>
      </w:r>
    </w:p>
    <w:p w:rsidR="008E641F" w:rsidRPr="00FF4446" w:rsidRDefault="008E641F" w:rsidP="008E641F">
      <w:pPr>
        <w:pStyle w:val="a4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«На сегодняшний день оспаривание кадастровой стоимости в Комиссии по-прежнему остается эффективной мерой по её корректировке во внесудебном порядке, – говорит заместитель руководителя новосибирского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Наталья Зайцева. - Для юридических лиц, органов государственной власти, органов  местного самоуправления досудебное урегулирование споров о кадастровой оценке в Комиссии обязательно, физические лица могут выбирать – обращаться в Комиссию или в суд».</w:t>
      </w:r>
      <w:r w:rsidRPr="00FF4446">
        <w:rPr>
          <w:sz w:val="18"/>
          <w:szCs w:val="18"/>
        </w:rPr>
        <w:tab/>
      </w:r>
    </w:p>
    <w:p w:rsidR="008E641F" w:rsidRPr="00FF4446" w:rsidRDefault="008E641F" w:rsidP="008E641F">
      <w:pPr>
        <w:pStyle w:val="a4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Управление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по Новосибирской области представляет восемь важных вопросов, ответы на  которые должен знать собственник, желающий снизить размер кадастровой стоимости своего объекта недвижимости.</w:t>
      </w: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  <w:r w:rsidRPr="00FF4446">
        <w:rPr>
          <w:b/>
          <w:sz w:val="18"/>
          <w:szCs w:val="18"/>
        </w:rPr>
        <w:t>Объекты недвижимости, результаты кадастровой стоимости которых можно оспорить в Комиссии</w:t>
      </w: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В </w:t>
      </w:r>
      <w:proofErr w:type="gramStart"/>
      <w:r w:rsidRPr="00FF4446">
        <w:rPr>
          <w:sz w:val="18"/>
          <w:szCs w:val="18"/>
        </w:rPr>
        <w:t>Комиссии</w:t>
      </w:r>
      <w:proofErr w:type="gramEnd"/>
      <w:r w:rsidRPr="00FF4446">
        <w:rPr>
          <w:sz w:val="18"/>
          <w:szCs w:val="18"/>
        </w:rPr>
        <w:t xml:space="preserve"> возможно оспорить результаты кадастровой стоимости объектов капитального строительства и земельных участков категорий земель: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– земли сельскохозяйственного назначения (включая садоводческие, огороднические, дачные объединение); 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– земли населенных пунктов; 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proofErr w:type="gramStart"/>
      <w:r w:rsidRPr="00FF4446">
        <w:rPr>
          <w:sz w:val="18"/>
          <w:szCs w:val="18"/>
        </w:rPr>
        <w:t xml:space="preserve">– земли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назначения. </w:t>
      </w:r>
      <w:proofErr w:type="gramEnd"/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FF4446">
        <w:rPr>
          <w:b/>
          <w:color w:val="000000"/>
          <w:sz w:val="18"/>
          <w:szCs w:val="18"/>
        </w:rPr>
        <w:t>Основания для оспаривания кадастровой</w:t>
      </w:r>
      <w:r w:rsidRPr="00FF4446">
        <w:rPr>
          <w:b/>
          <w:sz w:val="18"/>
          <w:szCs w:val="18"/>
        </w:rPr>
        <w:t xml:space="preserve"> стоимости</w:t>
      </w:r>
    </w:p>
    <w:p w:rsidR="008E641F" w:rsidRPr="00FF4446" w:rsidRDefault="008E641F" w:rsidP="008E641F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pStyle w:val="a5"/>
        <w:tabs>
          <w:tab w:val="left" w:pos="709"/>
        </w:tabs>
        <w:ind w:left="0"/>
        <w:rPr>
          <w:rFonts w:ascii="Times New Roman" w:hAnsi="Times New Roman"/>
          <w:sz w:val="18"/>
          <w:szCs w:val="18"/>
        </w:rPr>
      </w:pPr>
      <w:r w:rsidRPr="00FF4446">
        <w:rPr>
          <w:rFonts w:ascii="Times New Roman" w:hAnsi="Times New Roman"/>
          <w:sz w:val="18"/>
          <w:szCs w:val="18"/>
        </w:rPr>
        <w:t xml:space="preserve">1. Установление в отношении объекта недвижимости его рыночной стоимости на дату, по состоянию на которую была установлена его кадастровая стоимость. </w:t>
      </w:r>
    </w:p>
    <w:p w:rsidR="008E641F" w:rsidRPr="00FF4446" w:rsidRDefault="008E641F" w:rsidP="008E641F">
      <w:pPr>
        <w:pStyle w:val="a5"/>
        <w:tabs>
          <w:tab w:val="left" w:pos="709"/>
        </w:tabs>
        <w:ind w:left="0"/>
        <w:rPr>
          <w:rFonts w:ascii="Times New Roman" w:hAnsi="Times New Roman"/>
          <w:sz w:val="18"/>
          <w:szCs w:val="18"/>
        </w:rPr>
      </w:pPr>
      <w:r w:rsidRPr="00FF4446">
        <w:rPr>
          <w:rFonts w:ascii="Times New Roman" w:hAnsi="Times New Roman"/>
          <w:sz w:val="18"/>
          <w:szCs w:val="18"/>
        </w:rPr>
        <w:t>2. Недостоверность сведений об объекте недвижимости, использованных при определении его кадастровой стоимости.</w:t>
      </w:r>
    </w:p>
    <w:p w:rsidR="008E641F" w:rsidRPr="00FF4446" w:rsidRDefault="008E641F" w:rsidP="008E641F">
      <w:pPr>
        <w:pStyle w:val="a5"/>
        <w:tabs>
          <w:tab w:val="left" w:pos="709"/>
        </w:tabs>
        <w:ind w:left="0"/>
        <w:rPr>
          <w:rFonts w:ascii="Times New Roman" w:hAnsi="Times New Roman"/>
          <w:sz w:val="18"/>
          <w:szCs w:val="18"/>
        </w:rPr>
      </w:pPr>
    </w:p>
    <w:p w:rsidR="008E641F" w:rsidRPr="00FF4446" w:rsidRDefault="008E641F" w:rsidP="008E641F">
      <w:pPr>
        <w:pStyle w:val="a5"/>
        <w:tabs>
          <w:tab w:val="left" w:pos="709"/>
        </w:tabs>
        <w:ind w:left="0"/>
        <w:rPr>
          <w:rFonts w:ascii="Times New Roman" w:hAnsi="Times New Roman"/>
          <w:b/>
          <w:sz w:val="18"/>
          <w:szCs w:val="18"/>
        </w:rPr>
      </w:pPr>
      <w:r w:rsidRPr="00FF4446">
        <w:rPr>
          <w:rFonts w:ascii="Times New Roman" w:hAnsi="Times New Roman"/>
          <w:b/>
          <w:sz w:val="18"/>
          <w:szCs w:val="18"/>
        </w:rPr>
        <w:t>Документы для предоставления в Комиссию</w:t>
      </w:r>
    </w:p>
    <w:p w:rsidR="008E641F" w:rsidRPr="00FF4446" w:rsidRDefault="008E641F" w:rsidP="008E641F">
      <w:pPr>
        <w:ind w:firstLine="709"/>
        <w:jc w:val="both"/>
        <w:rPr>
          <w:color w:val="000000"/>
          <w:sz w:val="18"/>
          <w:szCs w:val="18"/>
        </w:rPr>
      </w:pPr>
    </w:p>
    <w:p w:rsidR="008E641F" w:rsidRPr="00FF4446" w:rsidRDefault="008E641F" w:rsidP="008E641F">
      <w:pPr>
        <w:numPr>
          <w:ilvl w:val="0"/>
          <w:numId w:val="1"/>
        </w:numPr>
        <w:ind w:left="0" w:firstLine="709"/>
        <w:jc w:val="both"/>
        <w:rPr>
          <w:sz w:val="18"/>
          <w:szCs w:val="18"/>
        </w:rPr>
      </w:pPr>
      <w:r w:rsidRPr="00FF4446">
        <w:rPr>
          <w:color w:val="000000"/>
          <w:sz w:val="18"/>
          <w:szCs w:val="18"/>
        </w:rPr>
        <w:t xml:space="preserve">Заявление о </w:t>
      </w:r>
      <w:r w:rsidRPr="00FF4446">
        <w:rPr>
          <w:sz w:val="18"/>
          <w:szCs w:val="18"/>
        </w:rPr>
        <w:t>пересмотре кадастровой стоимости.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Примерные формы заявлений размещены на официальном сайте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в сети Интернет  </w:t>
      </w:r>
      <w:hyperlink r:id="rId6" w:history="1">
        <w:r w:rsidRPr="00FF4446">
          <w:rPr>
            <w:rStyle w:val="a3"/>
            <w:sz w:val="18"/>
            <w:szCs w:val="18"/>
          </w:rPr>
          <w:t>https://rosreestr.ru/site/activity/kadastrovaya-otsenka/rassmotrenie-sporov-o-rezultatakh-opredeleniya-kadastrovoy-stoimosti-/informatsiya-o-rabote-komissiy-po-rassmotreniyu-sporov-o-rezultatakh-opredeleniya-kadastrovoy-stoimo/?r_sect=7455&amp;r_elem=274400</w:t>
        </w:r>
      </w:hyperlink>
      <w:r w:rsidRPr="00FF4446">
        <w:rPr>
          <w:sz w:val="18"/>
          <w:szCs w:val="18"/>
        </w:rPr>
        <w:t>.</w:t>
      </w:r>
    </w:p>
    <w:p w:rsidR="008E641F" w:rsidRPr="00FF4446" w:rsidRDefault="008E641F" w:rsidP="008E641F">
      <w:pPr>
        <w:numPr>
          <w:ilvl w:val="0"/>
          <w:numId w:val="1"/>
        </w:numPr>
        <w:ind w:left="0"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Документы, перечень которых зависит от основания для оспаривания.</w:t>
      </w:r>
    </w:p>
    <w:p w:rsidR="008E641F" w:rsidRPr="00FF4446" w:rsidRDefault="008E641F" w:rsidP="008E641F">
      <w:pPr>
        <w:ind w:left="720"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  <w:r w:rsidRPr="00FF4446">
        <w:rPr>
          <w:b/>
          <w:sz w:val="18"/>
          <w:szCs w:val="18"/>
        </w:rPr>
        <w:t>Документы, которые необходимо приложить к заявлению в случае оспаривания кадастровой стоимости по основанию установления рыночной стоимости объекта недвижимости на дату, по состоянию на которую была установлена его кадастровая стоимость:</w:t>
      </w: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- выписка из Единого государственного реестра недвижимости о кадастровой стоимости объекта недвижимости, содержащая сведения об оспариваемых результатах определения кадастровой стоимости;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- копия правоустанавливающего или </w:t>
      </w:r>
      <w:proofErr w:type="spellStart"/>
      <w:r w:rsidRPr="00FF4446">
        <w:rPr>
          <w:sz w:val="18"/>
          <w:szCs w:val="18"/>
        </w:rPr>
        <w:t>правоудостоверяющего</w:t>
      </w:r>
      <w:proofErr w:type="spellEnd"/>
      <w:r w:rsidRPr="00FF4446">
        <w:rPr>
          <w:sz w:val="18"/>
          <w:szCs w:val="18"/>
        </w:rPr>
        <w:t xml:space="preserve"> документа на объект недвижимости в случае, если заявление о пересмотре кадастровой стоимости подается собственником объекта недвижимости;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- отчет об индивидуальной рыночной оценке объекта недвижимости, кадастровая стоимость которого оспаривается. Отчет составляется на бумажном носителе и в форме электронного документа, электронный документ подписывается усиленной квалифицированной подписью оценщика.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Отчет об оценке, составленный на бумажном носителе и в форме электронного документа, должен быть подготовлен на дату, по состоянию на которую была определена его кадастровая стоимость.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  <w:r w:rsidRPr="00FF4446">
        <w:rPr>
          <w:b/>
          <w:sz w:val="18"/>
          <w:szCs w:val="18"/>
        </w:rPr>
        <w:t>Документы, которые необходимо приложить к заявлению при оспаривании кадастровой стоимости по основанию недостоверности сведений об объекте недвижимости, использованных при определении его кадастровой стоимости:</w:t>
      </w: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- выписка из Единого государственного реестра недвижимости о кадастровой стоимости объекта недвижимости, </w:t>
      </w:r>
      <w:proofErr w:type="gramStart"/>
      <w:r w:rsidRPr="00FF4446">
        <w:rPr>
          <w:sz w:val="18"/>
          <w:szCs w:val="18"/>
        </w:rPr>
        <w:t>содержащую</w:t>
      </w:r>
      <w:proofErr w:type="gramEnd"/>
      <w:r w:rsidRPr="00FF4446">
        <w:rPr>
          <w:sz w:val="18"/>
          <w:szCs w:val="18"/>
        </w:rPr>
        <w:t xml:space="preserve"> сведения об оспариваемых результатах определения кадастровой стоимости;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- копия правоустанавливающего или </w:t>
      </w:r>
      <w:proofErr w:type="spellStart"/>
      <w:r w:rsidRPr="00FF4446">
        <w:rPr>
          <w:sz w:val="18"/>
          <w:szCs w:val="18"/>
        </w:rPr>
        <w:t>правоудостоверяющего</w:t>
      </w:r>
      <w:proofErr w:type="spellEnd"/>
      <w:r w:rsidRPr="00FF4446">
        <w:rPr>
          <w:sz w:val="18"/>
          <w:szCs w:val="18"/>
        </w:rPr>
        <w:t xml:space="preserve"> документа на объект недвижимости в случае, если заявление о пересмотре кадастровой стоимости подается собственником объекта недвижимости;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- документы, подтверждающие недостоверность сведений об объекте недвижимости, использованных при определении его кадастровой стоимости.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lastRenderedPageBreak/>
        <w:t>Недостоверность сведений может выражаться в использовании в отношении объекта недвижимости не соответствующих действительности сведений о его характеристиках: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для земельного участка – о площади, местоположении, виде разрешенного использования; 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для объекта капитального строительства – о годе постройки, материале стен, этажности и т.д.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proofErr w:type="gramStart"/>
      <w:r w:rsidRPr="00FF4446">
        <w:rPr>
          <w:sz w:val="18"/>
          <w:szCs w:val="18"/>
        </w:rPr>
        <w:t>Также это могут быть факторы стоимости, используемые оценщиком при построении статистических моделей (наличие инженерной инфраструктуры, наличие водного объекта, наличие вблизи остановок общественного транспорта,</w:t>
      </w:r>
      <w:proofErr w:type="gramEnd"/>
      <w:r w:rsidRPr="00FF4446">
        <w:rPr>
          <w:sz w:val="18"/>
          <w:szCs w:val="18"/>
        </w:rPr>
        <w:t xml:space="preserve"> наличие рекреационных зон, удаленность от административного центра населенного пункта и т.д.).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  <w:r w:rsidRPr="00FF4446">
        <w:rPr>
          <w:b/>
          <w:sz w:val="18"/>
          <w:szCs w:val="18"/>
        </w:rPr>
        <w:t>Случаи, при наличии которых заявление к рассмотрению в Комиссию не принимается</w:t>
      </w: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Заявление без приложения вышеназванных документов либо в случае несоответствия представленных документов требованиям законодательства Российской Федерации к рассмотрению не принимается.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>Важно отметить, что в Комиссии рассматриваются заявления о пересмотре кадастровой стоимости объектов недвижимости, которая в сведениях Единого государственного реестра недвижимости является актуальной.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  <w:r w:rsidRPr="00FF4446">
        <w:rPr>
          <w:b/>
          <w:sz w:val="18"/>
          <w:szCs w:val="18"/>
        </w:rPr>
        <w:t>Сроки рассмотрения Комиссией заявления о пересмотре кадастровой стоимости</w:t>
      </w: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Заявление о пересмотре кадастровой стоимости рассматривается Комиссией в течение одного месяца </w:t>
      </w:r>
      <w:proofErr w:type="gramStart"/>
      <w:r w:rsidRPr="00FF4446">
        <w:rPr>
          <w:sz w:val="18"/>
          <w:szCs w:val="18"/>
        </w:rPr>
        <w:t>с даты</w:t>
      </w:r>
      <w:proofErr w:type="gramEnd"/>
      <w:r w:rsidRPr="00FF4446">
        <w:rPr>
          <w:sz w:val="18"/>
          <w:szCs w:val="18"/>
        </w:rPr>
        <w:t xml:space="preserve"> его поступления.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  <w:r w:rsidRPr="00FF4446">
        <w:rPr>
          <w:sz w:val="18"/>
          <w:szCs w:val="18"/>
        </w:rPr>
        <w:t xml:space="preserve">В случае принятия Комиссией положительного решения в течение пяти рабочих дней </w:t>
      </w:r>
      <w:proofErr w:type="gramStart"/>
      <w:r w:rsidRPr="00FF4446">
        <w:rPr>
          <w:sz w:val="18"/>
          <w:szCs w:val="18"/>
        </w:rPr>
        <w:t>с даты</w:t>
      </w:r>
      <w:proofErr w:type="gramEnd"/>
      <w:r w:rsidRPr="00FF4446">
        <w:rPr>
          <w:sz w:val="18"/>
          <w:szCs w:val="18"/>
        </w:rPr>
        <w:t xml:space="preserve"> его принятия копия такого решения направляется для внесения в Единый государственный реестр недвижимости оспоренной кадастровой стоимости. </w:t>
      </w:r>
    </w:p>
    <w:p w:rsidR="008E641F" w:rsidRPr="00FF4446" w:rsidRDefault="008E641F" w:rsidP="008E641F">
      <w:pPr>
        <w:ind w:firstLine="709"/>
        <w:jc w:val="both"/>
        <w:rPr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  <w:r w:rsidRPr="00FF4446">
        <w:rPr>
          <w:b/>
          <w:sz w:val="18"/>
          <w:szCs w:val="18"/>
        </w:rPr>
        <w:t>Адреса для направления заявления в Комиссию</w:t>
      </w:r>
    </w:p>
    <w:p w:rsidR="008E641F" w:rsidRPr="00FF4446" w:rsidRDefault="008E641F" w:rsidP="008E641F">
      <w:pPr>
        <w:ind w:firstLine="709"/>
        <w:jc w:val="both"/>
        <w:rPr>
          <w:b/>
          <w:sz w:val="18"/>
          <w:szCs w:val="18"/>
        </w:rPr>
      </w:pPr>
    </w:p>
    <w:p w:rsidR="008E641F" w:rsidRPr="00FF4446" w:rsidRDefault="008E641F" w:rsidP="008E641F">
      <w:pPr>
        <w:ind w:firstLine="709"/>
        <w:jc w:val="both"/>
        <w:rPr>
          <w:color w:val="000000"/>
          <w:sz w:val="18"/>
          <w:szCs w:val="18"/>
          <w:shd w:val="clear" w:color="auto" w:fill="FFFFFF"/>
        </w:rPr>
      </w:pPr>
      <w:proofErr w:type="gramStart"/>
      <w:r w:rsidRPr="00FF4446">
        <w:rPr>
          <w:sz w:val="18"/>
          <w:szCs w:val="18"/>
        </w:rPr>
        <w:t xml:space="preserve">Заявление о пересмотре кадастровой стоимости объектов недвижимости в Комиссию в Управление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по Новосибирской области можно направить по почте на адрес новосибирского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: </w:t>
      </w:r>
      <w:r w:rsidRPr="00FF4446">
        <w:rPr>
          <w:color w:val="000000"/>
          <w:sz w:val="18"/>
          <w:szCs w:val="18"/>
          <w:shd w:val="clear" w:color="auto" w:fill="FFFFFF"/>
        </w:rPr>
        <w:t>630091, г. Новосибирск, ул. Державина, д. 28</w:t>
      </w:r>
      <w:r w:rsidRPr="00FF4446">
        <w:rPr>
          <w:sz w:val="18"/>
          <w:szCs w:val="18"/>
        </w:rPr>
        <w:t xml:space="preserve"> или поместить в ящик для приема корреспонденции, который установлен на входе в Управление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(ул. Державина, 28, 1 этаж) на период действия в регионе ограничительных мер по нераспространению </w:t>
      </w:r>
      <w:proofErr w:type="spellStart"/>
      <w:r w:rsidRPr="00FF4446">
        <w:rPr>
          <w:sz w:val="18"/>
          <w:szCs w:val="18"/>
        </w:rPr>
        <w:t>коронавирусной</w:t>
      </w:r>
      <w:proofErr w:type="spellEnd"/>
      <w:r w:rsidRPr="00FF4446">
        <w:rPr>
          <w:sz w:val="18"/>
          <w:szCs w:val="18"/>
        </w:rPr>
        <w:t xml:space="preserve"> инфекции.</w:t>
      </w:r>
      <w:proofErr w:type="gramEnd"/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FF4446">
        <w:rPr>
          <w:rFonts w:ascii="Times New Roman" w:hAnsi="Times New Roman" w:cs="Times New Roman"/>
          <w:b/>
          <w:i/>
          <w:sz w:val="18"/>
          <w:szCs w:val="18"/>
        </w:rPr>
        <w:t xml:space="preserve">Материал подготовлен Управлением </w:t>
      </w:r>
      <w:proofErr w:type="spellStart"/>
      <w:r w:rsidRPr="00FF4446">
        <w:rPr>
          <w:rFonts w:ascii="Times New Roman" w:hAnsi="Times New Roman" w:cs="Times New Roman"/>
          <w:b/>
          <w:i/>
          <w:sz w:val="18"/>
          <w:szCs w:val="18"/>
        </w:rPr>
        <w:t>Росреестра</w:t>
      </w:r>
      <w:proofErr w:type="spellEnd"/>
      <w:r w:rsidRPr="00FF444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FF4446">
        <w:rPr>
          <w:rFonts w:ascii="Times New Roman" w:hAnsi="Times New Roman" w:cs="Times New Roman"/>
          <w:b/>
          <w:i/>
          <w:sz w:val="18"/>
          <w:szCs w:val="18"/>
        </w:rPr>
        <w:t>по Новосибирской области</w:t>
      </w:r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  <w:sz w:val="18"/>
          <w:szCs w:val="18"/>
        </w:rPr>
      </w:pPr>
    </w:p>
    <w:p w:rsidR="008E641F" w:rsidRPr="00FF4446" w:rsidRDefault="008E641F" w:rsidP="008E641F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18"/>
          <w:szCs w:val="18"/>
        </w:rPr>
      </w:pPr>
      <w:r w:rsidRPr="00347A9C">
        <w:rPr>
          <w:noProof/>
          <w:color w:val="000000"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pt;margin-top:7.1pt;width:490.5pt;height:0;z-index:251658240" o:connectortype="straight" strokecolor="#0070c0"/>
        </w:pict>
      </w:r>
    </w:p>
    <w:p w:rsidR="008E641F" w:rsidRPr="00FF4446" w:rsidRDefault="008E641F" w:rsidP="008E641F">
      <w:pPr>
        <w:suppressAutoHyphens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 w:rsidRPr="00FF4446">
        <w:rPr>
          <w:b/>
          <w:bCs/>
          <w:sz w:val="18"/>
          <w:szCs w:val="18"/>
        </w:rPr>
        <w:t xml:space="preserve">Об Управлении </w:t>
      </w:r>
      <w:proofErr w:type="spellStart"/>
      <w:r w:rsidRPr="00FF4446">
        <w:rPr>
          <w:b/>
          <w:bCs/>
          <w:sz w:val="18"/>
          <w:szCs w:val="18"/>
        </w:rPr>
        <w:t>Росреестра</w:t>
      </w:r>
      <w:proofErr w:type="spellEnd"/>
      <w:r w:rsidRPr="00FF4446">
        <w:rPr>
          <w:b/>
          <w:bCs/>
          <w:sz w:val="18"/>
          <w:szCs w:val="18"/>
        </w:rPr>
        <w:t xml:space="preserve"> по Новосибирской области</w:t>
      </w:r>
    </w:p>
    <w:p w:rsidR="008E641F" w:rsidRPr="00FF4446" w:rsidRDefault="008E641F" w:rsidP="008E641F">
      <w:pPr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</w:p>
    <w:p w:rsidR="008E641F" w:rsidRPr="00FF4446" w:rsidRDefault="008E641F" w:rsidP="008E641F">
      <w:pPr>
        <w:suppressAutoHyphens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F4446">
        <w:rPr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FF4446">
        <w:rPr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FF4446">
        <w:rPr>
          <w:sz w:val="18"/>
          <w:szCs w:val="18"/>
        </w:rPr>
        <w:t>саморегулируемых</w:t>
      </w:r>
      <w:proofErr w:type="spellEnd"/>
      <w:r w:rsidRPr="00FF4446">
        <w:rPr>
          <w:sz w:val="18"/>
          <w:szCs w:val="18"/>
        </w:rPr>
        <w:t xml:space="preserve"> организаций оценщиков, контролю деятельности </w:t>
      </w:r>
      <w:proofErr w:type="spellStart"/>
      <w:r w:rsidRPr="00FF4446">
        <w:rPr>
          <w:sz w:val="18"/>
          <w:szCs w:val="18"/>
        </w:rPr>
        <w:t>саморегулируемых</w:t>
      </w:r>
      <w:proofErr w:type="spellEnd"/>
      <w:r w:rsidRPr="00FF4446">
        <w:rPr>
          <w:sz w:val="18"/>
          <w:szCs w:val="18"/>
        </w:rPr>
        <w:t xml:space="preserve"> организаций арбитражных управляющих. Руководителем Управления </w:t>
      </w:r>
      <w:proofErr w:type="spellStart"/>
      <w:r w:rsidRPr="00FF4446">
        <w:rPr>
          <w:sz w:val="18"/>
          <w:szCs w:val="18"/>
        </w:rPr>
        <w:t>Росреестра</w:t>
      </w:r>
      <w:proofErr w:type="spellEnd"/>
      <w:r w:rsidRPr="00FF4446">
        <w:rPr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FF4446">
        <w:rPr>
          <w:sz w:val="18"/>
          <w:szCs w:val="18"/>
        </w:rPr>
        <w:t>Рягузова</w:t>
      </w:r>
      <w:proofErr w:type="spellEnd"/>
      <w:r w:rsidRPr="00FF4446">
        <w:rPr>
          <w:sz w:val="18"/>
          <w:szCs w:val="18"/>
        </w:rPr>
        <w:t>.</w:t>
      </w:r>
    </w:p>
    <w:p w:rsidR="008E641F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8E641F" w:rsidRPr="002B5F29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sz w:val="18"/>
          <w:szCs w:val="18"/>
        </w:rPr>
      </w:pPr>
      <w:r w:rsidRPr="002B5F29">
        <w:rPr>
          <w:rFonts w:ascii="Segoe UI" w:hAnsi="Segoe UI" w:cs="Segoe UI"/>
          <w:b/>
          <w:sz w:val="18"/>
          <w:szCs w:val="18"/>
        </w:rPr>
        <w:t xml:space="preserve">Контакты Управления </w:t>
      </w:r>
      <w:proofErr w:type="spellStart"/>
      <w:r w:rsidRPr="002B5F29">
        <w:rPr>
          <w:rFonts w:ascii="Segoe UI" w:hAnsi="Segoe UI" w:cs="Segoe UI"/>
          <w:b/>
          <w:sz w:val="18"/>
          <w:szCs w:val="18"/>
        </w:rPr>
        <w:t>Росреестра</w:t>
      </w:r>
      <w:proofErr w:type="spellEnd"/>
      <w:r w:rsidRPr="002B5F29">
        <w:rPr>
          <w:rFonts w:ascii="Segoe UI" w:hAnsi="Segoe UI" w:cs="Segoe UI"/>
          <w:b/>
          <w:sz w:val="18"/>
          <w:szCs w:val="18"/>
        </w:rPr>
        <w:t xml:space="preserve"> по Новосибирской области:</w:t>
      </w:r>
    </w:p>
    <w:p w:rsidR="008E641F" w:rsidRPr="002B5F29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sz w:val="18"/>
          <w:szCs w:val="18"/>
        </w:rPr>
      </w:pPr>
      <w:r w:rsidRPr="002B5F29">
        <w:rPr>
          <w:rFonts w:ascii="Segoe UI" w:hAnsi="Segoe UI" w:cs="Segoe UI"/>
          <w:sz w:val="18"/>
          <w:szCs w:val="18"/>
        </w:rPr>
        <w:t>Тел. 8 (383) 227-10-87</w:t>
      </w:r>
    </w:p>
    <w:p w:rsidR="008E641F" w:rsidRPr="002B5F29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7" w:history="1">
        <w:r w:rsidRPr="002B5F29">
          <w:rPr>
            <w:rStyle w:val="a3"/>
            <w:rFonts w:ascii="Segoe UI" w:hAnsi="Segoe UI" w:cs="Segoe UI"/>
            <w:sz w:val="18"/>
            <w:szCs w:val="18"/>
          </w:rPr>
          <w:t>54_</w:t>
        </w:r>
        <w:r w:rsidRPr="002B5F29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Pr="002B5F29">
          <w:rPr>
            <w:rStyle w:val="a3"/>
            <w:rFonts w:ascii="Segoe UI" w:hAnsi="Segoe UI" w:cs="Segoe UI"/>
            <w:sz w:val="18"/>
            <w:szCs w:val="18"/>
          </w:rPr>
          <w:t>@</w:t>
        </w:r>
        <w:r w:rsidRPr="002B5F29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2B5F29">
          <w:rPr>
            <w:rStyle w:val="a3"/>
            <w:rFonts w:ascii="Segoe UI" w:hAnsi="Segoe UI" w:cs="Segoe UI"/>
            <w:sz w:val="18"/>
            <w:szCs w:val="18"/>
          </w:rPr>
          <w:t>.</w:t>
        </w:r>
        <w:r w:rsidRPr="002B5F29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8E641F" w:rsidRPr="002B5F29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hyperlink r:id="rId8" w:tooltip="blocked::https://rosreestr.ru/site/" w:history="1">
        <w:r w:rsidRPr="002B5F29">
          <w:rPr>
            <w:rStyle w:val="a3"/>
            <w:rFonts w:ascii="Segoe UI" w:hAnsi="Segoe UI" w:cs="Segoe UI"/>
            <w:sz w:val="18"/>
            <w:szCs w:val="18"/>
          </w:rPr>
          <w:t>https://rosreestr.ru/site/</w:t>
        </w:r>
      </w:hyperlink>
    </w:p>
    <w:p w:rsidR="008E641F" w:rsidRPr="002B5F29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2B5F29">
        <w:rPr>
          <w:rFonts w:ascii="Segoe UI" w:hAnsi="Segoe UI" w:cs="Segoe UI"/>
          <w:sz w:val="18"/>
          <w:szCs w:val="18"/>
        </w:rPr>
        <w:t>630091, г</w:t>
      </w:r>
      <w:proofErr w:type="gramStart"/>
      <w:r w:rsidRPr="002B5F29">
        <w:rPr>
          <w:rFonts w:ascii="Segoe UI" w:hAnsi="Segoe UI" w:cs="Segoe UI"/>
          <w:sz w:val="18"/>
          <w:szCs w:val="18"/>
        </w:rPr>
        <w:t>.Н</w:t>
      </w:r>
      <w:proofErr w:type="gramEnd"/>
      <w:r w:rsidRPr="002B5F29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8E641F" w:rsidRPr="002B5F29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E641F" w:rsidRPr="002B5F29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2B5F29">
        <w:rPr>
          <w:rFonts w:ascii="Segoe UI" w:hAnsi="Segoe UI" w:cs="Segoe UI"/>
          <w:b/>
          <w:color w:val="000000"/>
          <w:sz w:val="18"/>
          <w:szCs w:val="18"/>
        </w:rPr>
        <w:t>Контакты для СМИ:</w:t>
      </w:r>
    </w:p>
    <w:p w:rsidR="008E641F" w:rsidRPr="002B5F29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2B5F29">
        <w:rPr>
          <w:rFonts w:ascii="Segoe UI" w:hAnsi="Segoe UI" w:cs="Segoe UI"/>
          <w:sz w:val="18"/>
          <w:szCs w:val="18"/>
        </w:rPr>
        <w:t>Управлени</w:t>
      </w:r>
      <w:r>
        <w:rPr>
          <w:rFonts w:ascii="Segoe UI" w:hAnsi="Segoe UI" w:cs="Segoe UI"/>
          <w:sz w:val="18"/>
          <w:szCs w:val="18"/>
        </w:rPr>
        <w:t>е</w:t>
      </w:r>
      <w:r w:rsidRPr="002B5F29">
        <w:rPr>
          <w:rFonts w:ascii="Segoe UI" w:hAnsi="Segoe UI" w:cs="Segoe UI"/>
          <w:sz w:val="18"/>
          <w:szCs w:val="18"/>
        </w:rPr>
        <w:t xml:space="preserve"> </w:t>
      </w:r>
      <w:proofErr w:type="spellStart"/>
      <w:r w:rsidRPr="002B5F29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B5F29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E641F" w:rsidRDefault="008E641F" w:rsidP="008E641F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  <w:hyperlink r:id="rId9" w:history="1">
        <w:r w:rsidRPr="002B5F29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8E641F" w:rsidRPr="002B5F29" w:rsidRDefault="008E641F" w:rsidP="008E641F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E641F" w:rsidRPr="002B5F29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2B5F29">
        <w:rPr>
          <w:rFonts w:ascii="Segoe UI" w:hAnsi="Segoe UI" w:cs="Segoe UI"/>
          <w:sz w:val="18"/>
          <w:szCs w:val="18"/>
        </w:rPr>
        <w:t>Мы в </w:t>
      </w:r>
      <w:proofErr w:type="spellStart"/>
      <w:r w:rsidRPr="002B5F29">
        <w:rPr>
          <w:rFonts w:ascii="Segoe UI" w:hAnsi="Segoe UI" w:cs="Segoe UI"/>
          <w:sz w:val="18"/>
          <w:szCs w:val="18"/>
        </w:rPr>
        <w:t>ВКонтакте</w:t>
      </w:r>
      <w:proofErr w:type="spellEnd"/>
      <w:r w:rsidRPr="002B5F29">
        <w:rPr>
          <w:rFonts w:ascii="Segoe UI" w:hAnsi="Segoe UI" w:cs="Segoe UI"/>
          <w:sz w:val="18"/>
          <w:szCs w:val="18"/>
        </w:rPr>
        <w:t xml:space="preserve"> </w:t>
      </w:r>
      <w:hyperlink r:id="rId10" w:history="1">
        <w:r w:rsidRPr="002B5F29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2B5F29">
        <w:rPr>
          <w:rFonts w:ascii="Segoe UI" w:hAnsi="Segoe UI" w:cs="Segoe UI"/>
          <w:sz w:val="18"/>
          <w:szCs w:val="18"/>
        </w:rPr>
        <w:t xml:space="preserve">, </w:t>
      </w:r>
    </w:p>
    <w:p w:rsidR="008E641F" w:rsidRPr="0000063A" w:rsidRDefault="008E641F" w:rsidP="008E641F">
      <w:pPr>
        <w:jc w:val="both"/>
        <w:rPr>
          <w:rFonts w:ascii="Segoe UI" w:hAnsi="Segoe UI" w:cs="Segoe UI"/>
          <w:color w:val="0000FF"/>
          <w:sz w:val="18"/>
          <w:szCs w:val="18"/>
          <w:u w:val="single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11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00063A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  <w:r w:rsidRPr="0000063A">
        <w:rPr>
          <w:rFonts w:ascii="Segoe UI" w:hAnsi="Segoe UI" w:cs="Segoe UI"/>
          <w:sz w:val="18"/>
          <w:szCs w:val="18"/>
          <w:lang w:val="en-US"/>
        </w:rPr>
        <w:t xml:space="preserve"> </w:t>
      </w:r>
    </w:p>
    <w:p w:rsidR="008E641F" w:rsidRPr="008E641F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color w:val="0000FF"/>
          <w:sz w:val="18"/>
          <w:szCs w:val="18"/>
          <w:u w:val="single"/>
          <w:lang w:val="en-US"/>
        </w:rPr>
      </w:pPr>
    </w:p>
    <w:p w:rsidR="008E641F" w:rsidRPr="008E641F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color w:val="0000FF"/>
          <w:sz w:val="18"/>
          <w:szCs w:val="18"/>
          <w:u w:val="single"/>
          <w:lang w:val="en-US"/>
        </w:rPr>
      </w:pPr>
    </w:p>
    <w:p w:rsidR="008E641F" w:rsidRPr="00FF4446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color w:val="0000FF"/>
          <w:sz w:val="18"/>
          <w:szCs w:val="18"/>
          <w:u w:val="single"/>
        </w:rPr>
      </w:pPr>
      <w:r>
        <w:rPr>
          <w:rFonts w:cs="Calibri"/>
          <w:noProof/>
        </w:rPr>
        <w:lastRenderedPageBreak/>
        <w:drawing>
          <wp:inline distT="0" distB="0" distL="0" distR="0">
            <wp:extent cx="2352675" cy="971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41F" w:rsidRPr="00FF4446" w:rsidRDefault="008E641F" w:rsidP="008E641F">
      <w:pPr>
        <w:shd w:val="clear" w:color="auto" w:fill="FFFFFF"/>
        <w:ind w:left="660"/>
        <w:jc w:val="center"/>
        <w:outlineLvl w:val="0"/>
        <w:rPr>
          <w:bCs/>
          <w:kern w:val="36"/>
          <w:sz w:val="20"/>
          <w:szCs w:val="20"/>
        </w:rPr>
      </w:pPr>
      <w:r w:rsidRPr="00FF4446">
        <w:rPr>
          <w:bCs/>
          <w:kern w:val="36"/>
          <w:sz w:val="20"/>
          <w:szCs w:val="20"/>
        </w:rPr>
        <w:t>Законопроект о «гаражной амнистии» внесён в Государственную Думу</w:t>
      </w:r>
    </w:p>
    <w:p w:rsidR="008E641F" w:rsidRPr="00FF4446" w:rsidRDefault="008E641F" w:rsidP="008E641F">
      <w:pPr>
        <w:shd w:val="clear" w:color="auto" w:fill="FFFFFF"/>
        <w:ind w:firstLine="660"/>
        <w:jc w:val="both"/>
        <w:rPr>
          <w:color w:val="000000"/>
          <w:sz w:val="20"/>
          <w:szCs w:val="20"/>
        </w:rPr>
      </w:pPr>
      <w:r w:rsidRPr="00FF4446">
        <w:rPr>
          <w:color w:val="000000"/>
          <w:sz w:val="20"/>
          <w:szCs w:val="20"/>
        </w:rPr>
        <w:t xml:space="preserve">На минувшей неделе в Государственную Думу внесен законопроект о «гаражной амнистии», разработанный при участии </w:t>
      </w:r>
      <w:proofErr w:type="spellStart"/>
      <w:r w:rsidRPr="00FF4446">
        <w:rPr>
          <w:color w:val="000000"/>
          <w:sz w:val="20"/>
          <w:szCs w:val="20"/>
        </w:rPr>
        <w:t>Росреестра</w:t>
      </w:r>
      <w:proofErr w:type="spellEnd"/>
      <w:r w:rsidRPr="00FF4446">
        <w:rPr>
          <w:color w:val="000000"/>
          <w:sz w:val="20"/>
          <w:szCs w:val="20"/>
        </w:rPr>
        <w:t xml:space="preserve"> и призванный внести ясность в регулирование вопросов оформления прав на объекты гаражного назначения и земельные участки, на которых они расположены.</w:t>
      </w:r>
    </w:p>
    <w:p w:rsidR="008E641F" w:rsidRPr="00FF4446" w:rsidRDefault="008E641F" w:rsidP="008E641F">
      <w:pPr>
        <w:shd w:val="clear" w:color="auto" w:fill="FFFFFF"/>
        <w:ind w:firstLine="708"/>
        <w:jc w:val="both"/>
        <w:rPr>
          <w:color w:val="000000"/>
          <w:sz w:val="20"/>
          <w:szCs w:val="20"/>
        </w:rPr>
      </w:pPr>
      <w:r w:rsidRPr="00FF4446">
        <w:rPr>
          <w:color w:val="000000"/>
          <w:sz w:val="20"/>
          <w:szCs w:val="20"/>
        </w:rPr>
        <w:t xml:space="preserve">Как сообщил руководитель </w:t>
      </w:r>
      <w:proofErr w:type="spellStart"/>
      <w:r w:rsidRPr="00FF4446">
        <w:rPr>
          <w:color w:val="000000"/>
          <w:sz w:val="20"/>
          <w:szCs w:val="20"/>
        </w:rPr>
        <w:t>Росреестра</w:t>
      </w:r>
      <w:proofErr w:type="spellEnd"/>
      <w:r w:rsidRPr="00FF4446">
        <w:rPr>
          <w:color w:val="000000"/>
          <w:sz w:val="20"/>
          <w:szCs w:val="20"/>
        </w:rPr>
        <w:t xml:space="preserve"> </w:t>
      </w:r>
      <w:r w:rsidRPr="00FF4446">
        <w:rPr>
          <w:b/>
          <w:bCs/>
          <w:color w:val="000000"/>
          <w:sz w:val="20"/>
          <w:szCs w:val="20"/>
        </w:rPr>
        <w:t xml:space="preserve">Олег </w:t>
      </w:r>
      <w:proofErr w:type="spellStart"/>
      <w:r w:rsidRPr="00FF4446">
        <w:rPr>
          <w:b/>
          <w:bCs/>
          <w:color w:val="000000"/>
          <w:sz w:val="20"/>
          <w:szCs w:val="20"/>
        </w:rPr>
        <w:t>Скуфинский</w:t>
      </w:r>
      <w:proofErr w:type="spellEnd"/>
      <w:r w:rsidRPr="00FF4446">
        <w:rPr>
          <w:color w:val="000000"/>
          <w:sz w:val="20"/>
          <w:szCs w:val="20"/>
        </w:rPr>
        <w:t>, в законопроекте максимально учтены пожелания граждан, а также позиции органов власти в субъектах РФ и органов местного самоуправления. В частности, регионы подчеркивали наличие большого количества неоформленных гаражей, что создает социальную напряженность среди граждан ввиду того, что зарегистрировать свои права в настоящее время можно только по решению суда. В этой связи законопроект предлагает комплексное решение данного вопроса, что позволит всем категориям граждан воспользоваться новым механизмом и зарегистрировать права на свои гаражные объекты.</w:t>
      </w:r>
    </w:p>
    <w:p w:rsidR="008E641F" w:rsidRPr="00FF4446" w:rsidRDefault="008E641F" w:rsidP="008E641F">
      <w:pPr>
        <w:shd w:val="clear" w:color="auto" w:fill="FFFFFF"/>
        <w:tabs>
          <w:tab w:val="left" w:pos="1065"/>
        </w:tabs>
        <w:jc w:val="both"/>
        <w:rPr>
          <w:color w:val="000000"/>
          <w:sz w:val="20"/>
          <w:szCs w:val="20"/>
        </w:rPr>
      </w:pPr>
      <w:r w:rsidRPr="00FF4446">
        <w:rPr>
          <w:color w:val="000000"/>
          <w:sz w:val="20"/>
          <w:szCs w:val="20"/>
        </w:rPr>
        <w:t xml:space="preserve">           «</w:t>
      </w:r>
      <w:r w:rsidRPr="00FF4446">
        <w:rPr>
          <w:i/>
          <w:iCs/>
          <w:color w:val="000000"/>
          <w:sz w:val="20"/>
          <w:szCs w:val="20"/>
        </w:rPr>
        <w:t>Чтобы оформить гараж в собственность, граждане должны будут обратиться в орган местного самоуправления (в том числе через МФЦ) с заявлением о предоставлении участка под существующим гаражом с приложением любого документа, который подтверждает факт владения гаражом. Заявление на регистрацию и участка и гаража должен будет подать орган местного самоуправления, при этом госпошлину платить не нужно</w:t>
      </w:r>
      <w:r w:rsidRPr="00FF4446">
        <w:rPr>
          <w:color w:val="000000"/>
          <w:sz w:val="20"/>
          <w:szCs w:val="20"/>
        </w:rPr>
        <w:t>», - пояснил </w:t>
      </w:r>
      <w:r w:rsidRPr="00FF4446">
        <w:rPr>
          <w:b/>
          <w:bCs/>
          <w:color w:val="000000"/>
          <w:sz w:val="20"/>
          <w:szCs w:val="20"/>
        </w:rPr>
        <w:t xml:space="preserve">Олег </w:t>
      </w:r>
      <w:proofErr w:type="spellStart"/>
      <w:r w:rsidRPr="00FF4446">
        <w:rPr>
          <w:b/>
          <w:bCs/>
          <w:color w:val="000000"/>
          <w:sz w:val="20"/>
          <w:szCs w:val="20"/>
        </w:rPr>
        <w:t>Скуфинский</w:t>
      </w:r>
      <w:proofErr w:type="spellEnd"/>
      <w:r w:rsidRPr="00FF4446">
        <w:rPr>
          <w:color w:val="000000"/>
          <w:sz w:val="20"/>
          <w:szCs w:val="20"/>
        </w:rPr>
        <w:t>.</w:t>
      </w:r>
    </w:p>
    <w:p w:rsidR="008E641F" w:rsidRPr="00FF4446" w:rsidRDefault="008E641F" w:rsidP="008E641F">
      <w:pPr>
        <w:shd w:val="clear" w:color="auto" w:fill="FFFFFF"/>
        <w:jc w:val="both"/>
        <w:rPr>
          <w:color w:val="000000"/>
          <w:sz w:val="20"/>
          <w:szCs w:val="20"/>
        </w:rPr>
      </w:pPr>
      <w:r w:rsidRPr="00FF4446">
        <w:rPr>
          <w:color w:val="000000"/>
          <w:sz w:val="20"/>
          <w:szCs w:val="20"/>
        </w:rPr>
        <w:tab/>
        <w:t xml:space="preserve">«Гаражная амнистия» распространяется на объекты гаражного назначения, возведенные до введения в действие Градостроительного кодекса РФ (31.12.2004). Речь идет только о капитальных сооружениях, у которых есть фундамент и стены. Сооружения должны быть одноэтажными, без жилых помещений. Они могут входить в состав гаражно-строительных кооперативов или быть отдельно стоящими капитальными постройками. Земля, на которой расположен гараж, должна находиться в ведении государства. Не попадают под «гаражную амнистию» </w:t>
      </w:r>
      <w:proofErr w:type="spellStart"/>
      <w:r w:rsidRPr="00FF4446">
        <w:rPr>
          <w:color w:val="000000"/>
          <w:sz w:val="20"/>
          <w:szCs w:val="20"/>
        </w:rPr>
        <w:t>самострои</w:t>
      </w:r>
      <w:proofErr w:type="spellEnd"/>
      <w:r w:rsidRPr="00FF4446">
        <w:rPr>
          <w:color w:val="000000"/>
          <w:sz w:val="20"/>
          <w:szCs w:val="20"/>
        </w:rPr>
        <w:t xml:space="preserve"> и подземные гаражи при </w:t>
      </w:r>
      <w:proofErr w:type="spellStart"/>
      <w:r w:rsidRPr="00FF4446">
        <w:rPr>
          <w:color w:val="000000"/>
          <w:sz w:val="20"/>
          <w:szCs w:val="20"/>
        </w:rPr>
        <w:t>многоэтажках</w:t>
      </w:r>
      <w:proofErr w:type="spellEnd"/>
      <w:r w:rsidRPr="00FF4446">
        <w:rPr>
          <w:color w:val="000000"/>
          <w:sz w:val="20"/>
          <w:szCs w:val="20"/>
        </w:rPr>
        <w:t xml:space="preserve"> и офисных комплексах. Также законопроект предусматривает максимально простой механизм размещения некапитальных гаражей, в том числе для льготных категорий граждан.</w:t>
      </w:r>
    </w:p>
    <w:p w:rsidR="008E641F" w:rsidRPr="00FF4446" w:rsidRDefault="008E641F" w:rsidP="008E641F">
      <w:pPr>
        <w:ind w:firstLine="692"/>
        <w:jc w:val="both"/>
        <w:rPr>
          <w:color w:val="000000"/>
          <w:spacing w:val="4"/>
          <w:sz w:val="20"/>
          <w:szCs w:val="20"/>
          <w:shd w:val="clear" w:color="auto" w:fill="FFFFFF"/>
        </w:rPr>
      </w:pPr>
      <w:r w:rsidRPr="00FF4446">
        <w:rPr>
          <w:b/>
          <w:color w:val="000000"/>
          <w:spacing w:val="4"/>
          <w:sz w:val="20"/>
          <w:szCs w:val="20"/>
          <w:shd w:val="clear" w:color="auto" w:fill="FFFFFF"/>
        </w:rPr>
        <w:t xml:space="preserve">Наталья </w:t>
      </w:r>
      <w:proofErr w:type="spellStart"/>
      <w:r w:rsidRPr="00FF4446">
        <w:rPr>
          <w:b/>
          <w:color w:val="000000"/>
          <w:spacing w:val="4"/>
          <w:sz w:val="20"/>
          <w:szCs w:val="20"/>
          <w:shd w:val="clear" w:color="auto" w:fill="FFFFFF"/>
        </w:rPr>
        <w:t>Ивчатова</w:t>
      </w:r>
      <w:proofErr w:type="spellEnd"/>
      <w:r w:rsidRPr="00FF4446">
        <w:rPr>
          <w:color w:val="000000"/>
          <w:spacing w:val="4"/>
          <w:sz w:val="20"/>
          <w:szCs w:val="20"/>
          <w:shd w:val="clear" w:color="auto" w:fill="FFFFFF"/>
        </w:rPr>
        <w:t xml:space="preserve">, заместитель руководителя Управления </w:t>
      </w:r>
      <w:proofErr w:type="spellStart"/>
      <w:r w:rsidRPr="00FF4446">
        <w:rPr>
          <w:color w:val="000000"/>
          <w:spacing w:val="4"/>
          <w:sz w:val="20"/>
          <w:szCs w:val="20"/>
          <w:shd w:val="clear" w:color="auto" w:fill="FFFFFF"/>
        </w:rPr>
        <w:t>Росреестра</w:t>
      </w:r>
      <w:proofErr w:type="spellEnd"/>
      <w:r w:rsidRPr="00FF4446">
        <w:rPr>
          <w:color w:val="000000"/>
          <w:spacing w:val="4"/>
          <w:sz w:val="20"/>
          <w:szCs w:val="20"/>
          <w:shd w:val="clear" w:color="auto" w:fill="FFFFFF"/>
        </w:rPr>
        <w:t xml:space="preserve"> по Новосибирской области: «Суть законопроекта проста - у владельцев гаражей появилась реальная возможность стать собственниками своих гаражей и земельных участков, на которых они расположены, не только на словах, но и на деле. Сегодня по закону очень многие из них никак не могут оформить гаражи в собственность, хотя пользуются ими десятилетия</w:t>
      </w:r>
      <w:bookmarkStart w:id="0" w:name="_GoBack"/>
      <w:bookmarkEnd w:id="0"/>
      <w:r w:rsidRPr="00FF4446">
        <w:rPr>
          <w:color w:val="000000"/>
          <w:spacing w:val="4"/>
          <w:sz w:val="20"/>
          <w:szCs w:val="20"/>
          <w:shd w:val="clear" w:color="auto" w:fill="FFFFFF"/>
        </w:rPr>
        <w:t>».</w:t>
      </w:r>
    </w:p>
    <w:p w:rsidR="008E641F" w:rsidRPr="00FF4446" w:rsidRDefault="008E641F" w:rsidP="008E641F">
      <w:pPr>
        <w:shd w:val="clear" w:color="auto" w:fill="FFFFFF"/>
        <w:tabs>
          <w:tab w:val="left" w:pos="1920"/>
        </w:tabs>
        <w:jc w:val="both"/>
        <w:rPr>
          <w:color w:val="000000"/>
          <w:sz w:val="20"/>
          <w:szCs w:val="20"/>
          <w:shd w:val="clear" w:color="auto" w:fill="FFFFFF"/>
        </w:rPr>
      </w:pPr>
      <w:r w:rsidRPr="00FF4446">
        <w:rPr>
          <w:color w:val="000000"/>
          <w:sz w:val="20"/>
          <w:szCs w:val="20"/>
          <w:shd w:val="clear" w:color="auto" w:fill="FFFFFF"/>
        </w:rPr>
        <w:t xml:space="preserve">           По данным Единого государственного реестра недвижимости, в Новосибирской области права зарегистрированы в отношении  почти 19 тысяч зданий и помещений с назначением «гараж», «бокс» или «гаражный бокс», при этом остается значительное количество существующих, но не оформленных в установленном порядке гаражей. В целом по России таковыми остаются более 3,5 млн.</w:t>
      </w:r>
      <w:r>
        <w:rPr>
          <w:color w:val="000000"/>
          <w:sz w:val="20"/>
          <w:szCs w:val="20"/>
          <w:shd w:val="clear" w:color="auto" w:fill="FFFFFF"/>
        </w:rPr>
        <w:t xml:space="preserve"> гаражей</w:t>
      </w:r>
    </w:p>
    <w:p w:rsidR="008E641F" w:rsidRPr="00FF4446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FF4446">
        <w:rPr>
          <w:rFonts w:ascii="Times New Roman" w:hAnsi="Times New Roman" w:cs="Times New Roman"/>
          <w:b/>
          <w:i/>
        </w:rPr>
        <w:t xml:space="preserve">Материал подготовлен Управлением </w:t>
      </w:r>
      <w:proofErr w:type="spellStart"/>
      <w:r w:rsidRPr="00FF4446">
        <w:rPr>
          <w:rFonts w:ascii="Times New Roman" w:hAnsi="Times New Roman" w:cs="Times New Roman"/>
          <w:b/>
          <w:i/>
        </w:rPr>
        <w:t>Росреестра</w:t>
      </w:r>
      <w:proofErr w:type="spellEnd"/>
      <w:r w:rsidRPr="00FF4446">
        <w:rPr>
          <w:rFonts w:ascii="Times New Roman" w:hAnsi="Times New Roman" w:cs="Times New Roman"/>
          <w:b/>
          <w:i/>
        </w:rPr>
        <w:t xml:space="preserve"> </w:t>
      </w:r>
    </w:p>
    <w:p w:rsidR="008E641F" w:rsidRPr="00327A57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FF4446">
        <w:rPr>
          <w:rFonts w:ascii="Times New Roman" w:hAnsi="Times New Roman" w:cs="Times New Roman"/>
          <w:b/>
          <w:i/>
        </w:rPr>
        <w:t>по Новосибирской области</w:t>
      </w:r>
      <w:r w:rsidRPr="00347A9C">
        <w:rPr>
          <w:rFonts w:ascii="Times New Roman" w:hAnsi="Times New Roman" w:cs="Times New Roman"/>
          <w:noProof/>
          <w:color w:val="000000"/>
        </w:rPr>
        <w:pict>
          <v:shape id="_x0000_s1027" type="#_x0000_t32" style="position:absolute;left:0;text-align:left;margin-left:-3.3pt;margin-top:7.1pt;width:490.5pt;height:0;z-index:251661312;mso-position-horizontal-relative:text;mso-position-vertical-relative:text" o:connectortype="straight" strokecolor="#0070c0"/>
        </w:pict>
      </w:r>
    </w:p>
    <w:p w:rsidR="008E641F" w:rsidRPr="00FF4446" w:rsidRDefault="008E641F" w:rsidP="008E641F">
      <w:pPr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FF4446">
        <w:rPr>
          <w:b/>
          <w:bCs/>
          <w:sz w:val="20"/>
          <w:szCs w:val="20"/>
        </w:rPr>
        <w:t xml:space="preserve">Об Управлении </w:t>
      </w:r>
      <w:proofErr w:type="spellStart"/>
      <w:r w:rsidRPr="00FF4446">
        <w:rPr>
          <w:b/>
          <w:bCs/>
          <w:sz w:val="20"/>
          <w:szCs w:val="20"/>
        </w:rPr>
        <w:t>Росреестра</w:t>
      </w:r>
      <w:proofErr w:type="spellEnd"/>
      <w:r w:rsidRPr="00FF4446">
        <w:rPr>
          <w:b/>
          <w:bCs/>
          <w:sz w:val="20"/>
          <w:szCs w:val="20"/>
        </w:rPr>
        <w:t xml:space="preserve"> по Новосибирской области</w:t>
      </w:r>
    </w:p>
    <w:p w:rsidR="008E641F" w:rsidRPr="00FF4446" w:rsidRDefault="008E641F" w:rsidP="008E641F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FF4446">
        <w:rPr>
          <w:sz w:val="20"/>
          <w:szCs w:val="20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FF4446">
        <w:rPr>
          <w:sz w:val="20"/>
          <w:szCs w:val="20"/>
        </w:rPr>
        <w:t>Росреестра</w:t>
      </w:r>
      <w:proofErr w:type="spellEnd"/>
      <w:r w:rsidRPr="00FF4446">
        <w:rPr>
          <w:sz w:val="20"/>
          <w:szCs w:val="20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FF4446">
        <w:rPr>
          <w:sz w:val="20"/>
          <w:szCs w:val="20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FF4446">
        <w:rPr>
          <w:sz w:val="20"/>
          <w:szCs w:val="20"/>
        </w:rPr>
        <w:t>саморегулируемых</w:t>
      </w:r>
      <w:proofErr w:type="spellEnd"/>
      <w:r w:rsidRPr="00FF4446">
        <w:rPr>
          <w:sz w:val="20"/>
          <w:szCs w:val="20"/>
        </w:rPr>
        <w:t xml:space="preserve"> организаций оценщиков, контролю деятельности </w:t>
      </w:r>
      <w:proofErr w:type="spellStart"/>
      <w:r w:rsidRPr="00FF4446">
        <w:rPr>
          <w:sz w:val="20"/>
          <w:szCs w:val="20"/>
        </w:rPr>
        <w:t>саморегулируемых</w:t>
      </w:r>
      <w:proofErr w:type="spellEnd"/>
      <w:r w:rsidRPr="00FF4446">
        <w:rPr>
          <w:sz w:val="20"/>
          <w:szCs w:val="20"/>
        </w:rPr>
        <w:t xml:space="preserve"> организаций арбитражных управляющих. Руководителем Управления </w:t>
      </w:r>
      <w:proofErr w:type="spellStart"/>
      <w:r w:rsidRPr="00FF4446">
        <w:rPr>
          <w:sz w:val="20"/>
          <w:szCs w:val="20"/>
        </w:rPr>
        <w:t>Росреестра</w:t>
      </w:r>
      <w:proofErr w:type="spellEnd"/>
      <w:r w:rsidRPr="00FF4446">
        <w:rPr>
          <w:sz w:val="20"/>
          <w:szCs w:val="20"/>
        </w:rPr>
        <w:t xml:space="preserve"> по Новосибирской области является Светлана Евгеньевна </w:t>
      </w:r>
      <w:proofErr w:type="spellStart"/>
      <w:r w:rsidRPr="00FF4446">
        <w:rPr>
          <w:sz w:val="20"/>
          <w:szCs w:val="20"/>
        </w:rPr>
        <w:t>Рягузова</w:t>
      </w:r>
      <w:proofErr w:type="spellEnd"/>
      <w:r w:rsidRPr="00FF4446">
        <w:rPr>
          <w:sz w:val="20"/>
          <w:szCs w:val="20"/>
        </w:rPr>
        <w:t>.</w:t>
      </w:r>
    </w:p>
    <w:p w:rsidR="008E641F" w:rsidRPr="00B45238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E641F" w:rsidRPr="002842A8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E641F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12" w:history="1">
        <w:r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8E641F" w:rsidRPr="00815B0C" w:rsidRDefault="008E641F" w:rsidP="008E641F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3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8E641F" w:rsidRPr="00B917E2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hyperlink r:id="rId14" w:history="1">
        <w:r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Pr="00B917E2">
        <w:rPr>
          <w:rFonts w:ascii="Segoe UI" w:hAnsi="Segoe UI" w:cs="Segoe UI"/>
          <w:sz w:val="18"/>
          <w:szCs w:val="18"/>
        </w:rPr>
        <w:t xml:space="preserve"> </w:t>
      </w:r>
    </w:p>
    <w:p w:rsidR="008E641F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8E641F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15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8E641F" w:rsidRPr="00327A57" w:rsidRDefault="008E641F" w:rsidP="008E641F">
      <w:pPr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2646DA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16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2646DA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2646D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2646DA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2646DA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2646DA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2646DA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2646DA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8E641F" w:rsidRDefault="008E641F" w:rsidP="008E641F">
      <w:pPr>
        <w:autoSpaceDE w:val="0"/>
        <w:autoSpaceDN w:val="0"/>
        <w:adjustRightInd w:val="0"/>
        <w:ind w:firstLine="709"/>
        <w:rPr>
          <w:rFonts w:ascii="Segoe UI" w:hAnsi="Segoe UI" w:cs="Segoe UI"/>
          <w:sz w:val="32"/>
          <w:szCs w:val="28"/>
        </w:rPr>
      </w:pPr>
      <w:r>
        <w:rPr>
          <w:rFonts w:cs="Calibri"/>
          <w:noProof/>
        </w:rPr>
        <w:lastRenderedPageBreak/>
        <w:drawing>
          <wp:inline distT="0" distB="0" distL="0" distR="0">
            <wp:extent cx="2352675" cy="9715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41F" w:rsidRDefault="008E641F" w:rsidP="008E641F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sz w:val="32"/>
          <w:szCs w:val="28"/>
        </w:rPr>
      </w:pPr>
    </w:p>
    <w:p w:rsidR="008E641F" w:rsidRPr="00327A57" w:rsidRDefault="008E641F" w:rsidP="008E641F">
      <w:pPr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r w:rsidRPr="00327A57">
        <w:rPr>
          <w:sz w:val="20"/>
          <w:szCs w:val="20"/>
        </w:rPr>
        <w:t>Это поможет Вам вернуть часть денежных средств</w:t>
      </w:r>
    </w:p>
    <w:p w:rsidR="008E641F" w:rsidRPr="00327A57" w:rsidRDefault="008E641F" w:rsidP="008E641F">
      <w:pPr>
        <w:autoSpaceDE w:val="0"/>
        <w:autoSpaceDN w:val="0"/>
        <w:adjustRightInd w:val="0"/>
        <w:ind w:firstLine="709"/>
        <w:jc w:val="center"/>
        <w:rPr>
          <w:color w:val="FF0000"/>
          <w:sz w:val="20"/>
          <w:szCs w:val="20"/>
        </w:rPr>
      </w:pP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В практике новосибирского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нередко возникают случаи, когда заявители по разным причинам не могут в установленные сроки устранить причины приостановления государственной регистрации прав.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Например, при проведении правовой экспертизы документов была обнаружена ошибка, которая не может быть оперативно устранена путем подачи дополнительных документов. Или стороны, заключившие договор, до момента регистрации решили его расторгнуть. В подобных случаях, чтобы не терять напрасно время и средства заявитель может подать заявление о прекращении учетно-регистрационных действий.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Важно подать такие заявления до проведения кадастрового учета и/или регистрации прав либо отказа в их проведении.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Заявление о прекращении государственной регистрации может быть подано только тем лицом, которое подавало заявление либо его представителем на основании нотариальной доверенности.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Заявление о прекращении государственной регистрации на основании договора обязательно должно быть представлено всеми сторонами договора либо нотариусом в случае, если заявление о государственной регистрации представлено нотариусом.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 xml:space="preserve">Если для приобретения объекта недвижимости был взят кредит, то регистрация прав прекращается по заявлению сторон, обязательно прилагается согласие банка. 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Заявление о прекращении кадастрового учета или регистрации прав можно подать в любом удобном офисе МФЦ.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Сведения о прекращении государственной регистрации прав вносятся в Единый государственный реестр недвижимости не позднее рабочего дня, следующего за днем представления заявления.</w:t>
      </w:r>
    </w:p>
    <w:p w:rsidR="008E641F" w:rsidRPr="00327A57" w:rsidRDefault="008E641F" w:rsidP="008E641F">
      <w:pPr>
        <w:ind w:firstLine="709"/>
        <w:jc w:val="both"/>
        <w:rPr>
          <w:sz w:val="20"/>
          <w:szCs w:val="20"/>
        </w:rPr>
      </w:pPr>
      <w:r w:rsidRPr="00327A57">
        <w:rPr>
          <w:sz w:val="20"/>
          <w:szCs w:val="20"/>
        </w:rPr>
        <w:t>Если при подаче заявления об осуществлении кадастрового учета и регистрации прав была уплачена государственная пошлина, то при подаче заявления о прекращении возвращается половина уплаченной суммы государственной пошлины.</w:t>
      </w:r>
    </w:p>
    <w:p w:rsidR="008E641F" w:rsidRPr="00327A57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8E641F" w:rsidRPr="00327A57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8E641F" w:rsidRPr="00327A57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327A57">
        <w:rPr>
          <w:rFonts w:ascii="Times New Roman" w:hAnsi="Times New Roman" w:cs="Times New Roman"/>
          <w:b/>
          <w:i/>
        </w:rPr>
        <w:t xml:space="preserve">Материал подготовлен Управлением </w:t>
      </w:r>
      <w:proofErr w:type="spellStart"/>
      <w:r w:rsidRPr="00327A57">
        <w:rPr>
          <w:rFonts w:ascii="Times New Roman" w:hAnsi="Times New Roman" w:cs="Times New Roman"/>
          <w:b/>
          <w:i/>
        </w:rPr>
        <w:t>Росреестра</w:t>
      </w:r>
      <w:proofErr w:type="spellEnd"/>
      <w:r w:rsidRPr="00327A57">
        <w:rPr>
          <w:rFonts w:ascii="Times New Roman" w:hAnsi="Times New Roman" w:cs="Times New Roman"/>
          <w:b/>
          <w:i/>
        </w:rPr>
        <w:t xml:space="preserve"> </w:t>
      </w:r>
    </w:p>
    <w:p w:rsidR="008E641F" w:rsidRPr="00327A57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</w:rPr>
      </w:pPr>
      <w:r w:rsidRPr="00327A57">
        <w:rPr>
          <w:rFonts w:ascii="Times New Roman" w:hAnsi="Times New Roman" w:cs="Times New Roman"/>
          <w:b/>
          <w:i/>
        </w:rPr>
        <w:t>по Новосибирской области</w:t>
      </w:r>
    </w:p>
    <w:p w:rsidR="008E641F" w:rsidRPr="00327A57" w:rsidRDefault="008E641F" w:rsidP="008E641F">
      <w:pPr>
        <w:pStyle w:val="ConsPlusNormal"/>
        <w:jc w:val="right"/>
        <w:rPr>
          <w:rFonts w:ascii="Times New Roman" w:hAnsi="Times New Roman" w:cs="Times New Roman"/>
          <w:b/>
          <w:i/>
        </w:rPr>
      </w:pPr>
    </w:p>
    <w:p w:rsidR="008E641F" w:rsidRPr="00327A57" w:rsidRDefault="008E641F" w:rsidP="008E641F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0"/>
          <w:szCs w:val="20"/>
        </w:rPr>
      </w:pPr>
      <w:r w:rsidRPr="00347A9C">
        <w:rPr>
          <w:noProof/>
          <w:color w:val="000000"/>
          <w:sz w:val="20"/>
          <w:szCs w:val="20"/>
        </w:rPr>
        <w:pict>
          <v:shape id="_x0000_s1028" type="#_x0000_t32" style="position:absolute;left:0;text-align:left;margin-left:-3.3pt;margin-top:7.1pt;width:490.5pt;height:0;z-index:251662336" o:connectortype="straight" strokecolor="#0070c0"/>
        </w:pict>
      </w:r>
    </w:p>
    <w:p w:rsidR="008E641F" w:rsidRPr="00327A57" w:rsidRDefault="008E641F" w:rsidP="008E641F">
      <w:pPr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 w:rsidRPr="00327A57">
        <w:rPr>
          <w:b/>
          <w:bCs/>
          <w:sz w:val="20"/>
          <w:szCs w:val="20"/>
        </w:rPr>
        <w:t xml:space="preserve">Об Управлении </w:t>
      </w:r>
      <w:proofErr w:type="spellStart"/>
      <w:r w:rsidRPr="00327A57">
        <w:rPr>
          <w:b/>
          <w:bCs/>
          <w:sz w:val="20"/>
          <w:szCs w:val="20"/>
        </w:rPr>
        <w:t>Росреестра</w:t>
      </w:r>
      <w:proofErr w:type="spellEnd"/>
      <w:r w:rsidRPr="00327A57">
        <w:rPr>
          <w:b/>
          <w:bCs/>
          <w:sz w:val="20"/>
          <w:szCs w:val="20"/>
        </w:rPr>
        <w:t xml:space="preserve"> по Новосибирской области</w:t>
      </w:r>
    </w:p>
    <w:p w:rsidR="008E641F" w:rsidRPr="00327A57" w:rsidRDefault="008E641F" w:rsidP="008E641F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E641F" w:rsidRPr="00327A57" w:rsidRDefault="008E641F" w:rsidP="008E641F">
      <w:pPr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327A57">
        <w:rPr>
          <w:sz w:val="20"/>
          <w:szCs w:val="20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327A57">
        <w:rPr>
          <w:sz w:val="20"/>
          <w:szCs w:val="20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</w:t>
      </w:r>
      <w:proofErr w:type="spellStart"/>
      <w:r w:rsidRPr="00327A57">
        <w:rPr>
          <w:sz w:val="20"/>
          <w:szCs w:val="20"/>
        </w:rPr>
        <w:t>саморегулируемых</w:t>
      </w:r>
      <w:proofErr w:type="spellEnd"/>
      <w:r w:rsidRPr="00327A57">
        <w:rPr>
          <w:sz w:val="20"/>
          <w:szCs w:val="20"/>
        </w:rPr>
        <w:t xml:space="preserve"> организаций оценщиков, контролю деятельности </w:t>
      </w:r>
      <w:proofErr w:type="spellStart"/>
      <w:r w:rsidRPr="00327A57">
        <w:rPr>
          <w:sz w:val="20"/>
          <w:szCs w:val="20"/>
        </w:rPr>
        <w:t>саморегулируемых</w:t>
      </w:r>
      <w:proofErr w:type="spellEnd"/>
      <w:r w:rsidRPr="00327A57">
        <w:rPr>
          <w:sz w:val="20"/>
          <w:szCs w:val="20"/>
        </w:rPr>
        <w:t xml:space="preserve"> организаций арбитражных управляющих. Руководителем Управления </w:t>
      </w:r>
      <w:proofErr w:type="spellStart"/>
      <w:r w:rsidRPr="00327A57">
        <w:rPr>
          <w:sz w:val="20"/>
          <w:szCs w:val="20"/>
        </w:rPr>
        <w:t>Росреестра</w:t>
      </w:r>
      <w:proofErr w:type="spellEnd"/>
      <w:r w:rsidRPr="00327A57">
        <w:rPr>
          <w:sz w:val="20"/>
          <w:szCs w:val="20"/>
        </w:rPr>
        <w:t xml:space="preserve"> по Новосибирской области является Светлана Евгеньевна </w:t>
      </w:r>
      <w:proofErr w:type="spellStart"/>
      <w:r w:rsidRPr="00327A57">
        <w:rPr>
          <w:sz w:val="20"/>
          <w:szCs w:val="20"/>
        </w:rPr>
        <w:t>Рягузова</w:t>
      </w:r>
      <w:proofErr w:type="spellEnd"/>
      <w:r w:rsidRPr="00327A57">
        <w:rPr>
          <w:sz w:val="20"/>
          <w:szCs w:val="20"/>
        </w:rPr>
        <w:t>.</w:t>
      </w:r>
    </w:p>
    <w:p w:rsidR="008E641F" w:rsidRPr="00327A57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8E641F" w:rsidRPr="00B45238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8E641F" w:rsidRPr="002842A8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2842A8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8E641F" w:rsidRDefault="008E641F" w:rsidP="008E641F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hyperlink r:id="rId17" w:history="1">
        <w:r>
          <w:rPr>
            <w:rStyle w:val="a3"/>
            <w:rFonts w:ascii="Segoe UI" w:hAnsi="Segoe UI" w:cs="Segoe UI"/>
            <w:sz w:val="18"/>
            <w:szCs w:val="18"/>
          </w:rPr>
          <w:t>54_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>
          <w:rPr>
            <w:rStyle w:val="a3"/>
            <w:rFonts w:ascii="Segoe UI" w:hAnsi="Segoe UI" w:cs="Segoe UI"/>
            <w:sz w:val="18"/>
            <w:szCs w:val="18"/>
          </w:rPr>
          <w:t>@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>
          <w:rPr>
            <w:rStyle w:val="a3"/>
            <w:rFonts w:ascii="Segoe UI" w:hAnsi="Segoe UI" w:cs="Segoe UI"/>
            <w:sz w:val="18"/>
            <w:szCs w:val="18"/>
          </w:rPr>
          <w:t>.</w:t>
        </w:r>
        <w:r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8E641F" w:rsidRPr="00815B0C" w:rsidRDefault="008E641F" w:rsidP="008E641F">
      <w:pPr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hyperlink r:id="rId18" w:history="1">
        <w:r w:rsidRPr="00815B0C">
          <w:rPr>
            <w:rStyle w:val="a3"/>
            <w:rFonts w:ascii="Segoe UI" w:hAnsi="Segoe UI" w:cs="Segoe UI"/>
            <w:sz w:val="18"/>
            <w:szCs w:val="18"/>
          </w:rPr>
          <w:t>oko@54upr.rosreestr.ru</w:t>
        </w:r>
      </w:hyperlink>
    </w:p>
    <w:p w:rsidR="008E641F" w:rsidRPr="00B917E2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hyperlink r:id="rId19" w:history="1">
        <w:r w:rsidRPr="00D01338">
          <w:rPr>
            <w:rStyle w:val="a3"/>
            <w:rFonts w:ascii="Segoe UI" w:hAnsi="Segoe UI" w:cs="Segoe UI"/>
            <w:sz w:val="18"/>
            <w:szCs w:val="18"/>
          </w:rPr>
          <w:t>https://rosreestr.gov.ru/</w:t>
        </w:r>
      </w:hyperlink>
      <w:r w:rsidRPr="00B917E2">
        <w:rPr>
          <w:rFonts w:ascii="Segoe UI" w:hAnsi="Segoe UI" w:cs="Segoe UI"/>
          <w:sz w:val="18"/>
          <w:szCs w:val="18"/>
        </w:rPr>
        <w:t xml:space="preserve"> </w:t>
      </w:r>
    </w:p>
    <w:p w:rsidR="008E641F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>, 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овосибирск, ул.Державина, д. 28</w:t>
      </w:r>
    </w:p>
    <w:p w:rsidR="008E641F" w:rsidRDefault="008E641F" w:rsidP="008E641F">
      <w:pPr>
        <w:jc w:val="both"/>
        <w:rPr>
          <w:rFonts w:ascii="Segoe UI" w:hAnsi="Segoe UI" w:cs="Segoe UI"/>
          <w:sz w:val="18"/>
          <w:szCs w:val="18"/>
        </w:rPr>
      </w:pPr>
      <w:r w:rsidRPr="00B45238">
        <w:rPr>
          <w:rFonts w:ascii="Segoe UI" w:hAnsi="Segoe UI" w:cs="Segoe UI"/>
          <w:sz w:val="18"/>
        </w:rPr>
        <w:t>Мы в </w:t>
      </w:r>
      <w:proofErr w:type="spellStart"/>
      <w:r w:rsidRPr="00C97311">
        <w:rPr>
          <w:rFonts w:ascii="Segoe UI" w:hAnsi="Segoe UI" w:cs="Segoe UI"/>
          <w:sz w:val="18"/>
        </w:rPr>
        <w:t>ВКонтакте</w:t>
      </w:r>
      <w:proofErr w:type="spellEnd"/>
      <w:r>
        <w:rPr>
          <w:rFonts w:ascii="Segoe UI" w:hAnsi="Segoe UI" w:cs="Segoe UI"/>
          <w:sz w:val="18"/>
        </w:rPr>
        <w:t xml:space="preserve"> </w:t>
      </w:r>
      <w:hyperlink r:id="rId20" w:history="1">
        <w:r w:rsidRPr="001D56CB">
          <w:rPr>
            <w:rStyle w:val="a3"/>
            <w:rFonts w:ascii="Segoe UI" w:hAnsi="Segoe UI" w:cs="Segoe UI"/>
            <w:sz w:val="18"/>
            <w:szCs w:val="18"/>
          </w:rPr>
          <w:t>https://vk.com/rosreestr_nsk</w:t>
        </w:r>
      </w:hyperlink>
      <w:r w:rsidRPr="00C97311">
        <w:rPr>
          <w:rFonts w:ascii="Segoe UI" w:hAnsi="Segoe UI" w:cs="Segoe UI"/>
          <w:sz w:val="18"/>
          <w:szCs w:val="18"/>
        </w:rPr>
        <w:t>,</w:t>
      </w:r>
      <w:r>
        <w:rPr>
          <w:rFonts w:ascii="Segoe UI" w:hAnsi="Segoe UI" w:cs="Segoe UI"/>
          <w:sz w:val="18"/>
          <w:szCs w:val="18"/>
        </w:rPr>
        <w:t xml:space="preserve"> </w:t>
      </w:r>
    </w:p>
    <w:p w:rsidR="008E641F" w:rsidRPr="008E641F" w:rsidRDefault="008E641F" w:rsidP="008E641F">
      <w:pPr>
        <w:rPr>
          <w:rFonts w:ascii="Segoe UI" w:hAnsi="Segoe UI" w:cs="Segoe UI"/>
          <w:sz w:val="18"/>
          <w:szCs w:val="18"/>
          <w:lang w:val="en-US"/>
        </w:rPr>
      </w:pPr>
      <w:proofErr w:type="spellStart"/>
      <w:r w:rsidRPr="00C97311">
        <w:rPr>
          <w:rFonts w:ascii="Segoe UI" w:hAnsi="Segoe UI" w:cs="Segoe UI"/>
          <w:sz w:val="18"/>
          <w:szCs w:val="18"/>
          <w:lang w:val="en-US"/>
        </w:rPr>
        <w:t>Instagram</w:t>
      </w:r>
      <w:proofErr w:type="spellEnd"/>
      <w:r w:rsidRPr="0057138F">
        <w:rPr>
          <w:rFonts w:ascii="Segoe UI" w:hAnsi="Segoe UI" w:cs="Segoe UI"/>
          <w:sz w:val="18"/>
          <w:szCs w:val="18"/>
          <w:lang w:val="en-US"/>
        </w:rPr>
        <w:t xml:space="preserve"> </w:t>
      </w:r>
      <w:hyperlink r:id="rId21" w:history="1"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https</w:t>
        </w:r>
        <w:r w:rsidRPr="0057138F">
          <w:rPr>
            <w:rStyle w:val="a3"/>
            <w:rFonts w:ascii="Segoe UI" w:hAnsi="Segoe UI" w:cs="Segoe UI"/>
            <w:sz w:val="18"/>
            <w:szCs w:val="18"/>
            <w:lang w:val="en-US"/>
          </w:rPr>
          <w:t>://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www</w:t>
        </w:r>
        <w:r w:rsidRPr="0057138F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instagram</w:t>
        </w:r>
        <w:r w:rsidRPr="0057138F">
          <w:rPr>
            <w:rStyle w:val="a3"/>
            <w:rFonts w:ascii="Segoe UI" w:hAnsi="Segoe UI" w:cs="Segoe UI"/>
            <w:sz w:val="18"/>
            <w:szCs w:val="18"/>
            <w:lang w:val="en-US"/>
          </w:rPr>
          <w:t>.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com</w:t>
        </w:r>
        <w:r w:rsidRPr="0057138F">
          <w:rPr>
            <w:rStyle w:val="a3"/>
            <w:rFonts w:ascii="Segoe UI" w:hAnsi="Segoe UI" w:cs="Segoe UI"/>
            <w:sz w:val="18"/>
            <w:szCs w:val="18"/>
            <w:lang w:val="en-US"/>
          </w:rPr>
          <w:t>/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Pr="0057138F">
          <w:rPr>
            <w:rStyle w:val="a3"/>
            <w:rFonts w:ascii="Segoe UI" w:hAnsi="Segoe UI" w:cs="Segoe UI"/>
            <w:sz w:val="18"/>
            <w:szCs w:val="18"/>
            <w:lang w:val="en-US"/>
          </w:rPr>
          <w:t>_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nsk</w:t>
        </w:r>
        <w:r w:rsidRPr="0057138F">
          <w:rPr>
            <w:rStyle w:val="a3"/>
            <w:rFonts w:ascii="Segoe UI" w:hAnsi="Segoe UI" w:cs="Segoe UI"/>
            <w:sz w:val="18"/>
            <w:szCs w:val="18"/>
            <w:lang w:val="en-US"/>
          </w:rPr>
          <w:t>/?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hl</w:t>
        </w:r>
        <w:r w:rsidRPr="0057138F">
          <w:rPr>
            <w:rStyle w:val="a3"/>
            <w:rFonts w:ascii="Segoe UI" w:hAnsi="Segoe UI" w:cs="Segoe UI"/>
            <w:sz w:val="18"/>
            <w:szCs w:val="18"/>
            <w:lang w:val="en-US"/>
          </w:rPr>
          <w:t>=</w:t>
        </w:r>
        <w:r w:rsidRPr="001D56CB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</w:hyperlink>
    </w:p>
    <w:p w:rsidR="0065540D" w:rsidRPr="008E641F" w:rsidRDefault="0065540D">
      <w:pPr>
        <w:rPr>
          <w:lang w:val="en-US"/>
        </w:rPr>
      </w:pPr>
    </w:p>
    <w:sectPr w:rsidR="0065540D" w:rsidRPr="008E641F" w:rsidSect="0065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D7133"/>
    <w:multiLevelType w:val="hybridMultilevel"/>
    <w:tmpl w:val="6CA44ECC"/>
    <w:lvl w:ilvl="0" w:tplc="5986F1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E641F"/>
    <w:rsid w:val="0065540D"/>
    <w:rsid w:val="008E6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E641F"/>
    <w:rPr>
      <w:color w:val="0000FF"/>
      <w:u w:val="single"/>
    </w:rPr>
  </w:style>
  <w:style w:type="paragraph" w:customStyle="1" w:styleId="ConsPlusNormal">
    <w:name w:val="ConsPlusNormal"/>
    <w:rsid w:val="008E64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8E641F"/>
    <w:pPr>
      <w:spacing w:before="100" w:beforeAutospacing="1" w:after="100" w:afterAutospacing="1"/>
    </w:pPr>
  </w:style>
  <w:style w:type="paragraph" w:styleId="a5">
    <w:name w:val="List Paragraph"/>
    <w:aliases w:val="Источник"/>
    <w:basedOn w:val="a"/>
    <w:link w:val="a6"/>
    <w:uiPriority w:val="99"/>
    <w:qFormat/>
    <w:rsid w:val="008E641F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Источник Знак"/>
    <w:basedOn w:val="a0"/>
    <w:link w:val="a5"/>
    <w:uiPriority w:val="99"/>
    <w:locked/>
    <w:rsid w:val="008E641F"/>
    <w:rPr>
      <w:rFonts w:ascii="Calibri" w:eastAsia="Calibri" w:hAnsi="Calibri" w:cs="Times New Roman"/>
    </w:r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4"/>
    <w:uiPriority w:val="99"/>
    <w:locked/>
    <w:rsid w:val="008E6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4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" TargetMode="External"/><Relationship Id="rId13" Type="http://schemas.openxmlformats.org/officeDocument/2006/relationships/hyperlink" Target="mailto:oko@54upr.rosreestr.ru" TargetMode="External"/><Relationship Id="rId18" Type="http://schemas.openxmlformats.org/officeDocument/2006/relationships/hyperlink" Target="mailto:oko@54upr.rosreestr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osreestr_nsk/?hl=ru" TargetMode="External"/><Relationship Id="rId7" Type="http://schemas.openxmlformats.org/officeDocument/2006/relationships/hyperlink" Target="mailto:54_upr@rosreestr.ru" TargetMode="External"/><Relationship Id="rId12" Type="http://schemas.openxmlformats.org/officeDocument/2006/relationships/hyperlink" Target="mailto:54_upr@rosreestr.ru" TargetMode="External"/><Relationship Id="rId17" Type="http://schemas.openxmlformats.org/officeDocument/2006/relationships/hyperlink" Target="mailto:54_upr@rosreest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osreestr_nsk/?hl=ru" TargetMode="External"/><Relationship Id="rId20" Type="http://schemas.openxmlformats.org/officeDocument/2006/relationships/hyperlink" Target="https://vk.com/rosreestr_n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reestr.ru/site/activity/kadastrovaya-otsenka/rassmotrenie-sporov-o-rezultatakh-opredeleniya-kadastrovoy-stoimosti-/informatsiya-o-rabote-komissiy-po-rassmotreniyu-sporov-o-rezultatakh-opredeleniya-kadastrovoy-stoimo/?r_sect=7455&amp;r_elem=274400" TargetMode="External"/><Relationship Id="rId11" Type="http://schemas.openxmlformats.org/officeDocument/2006/relationships/hyperlink" Target="https://www.instagram.com/rosreestr_nsk/?hl=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rosreestr_ns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19" Type="http://schemas.openxmlformats.org/officeDocument/2006/relationships/hyperlink" Target="https://rosreestr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rosreestr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2440</Words>
  <Characters>13908</Characters>
  <Application>Microsoft Office Word</Application>
  <DocSecurity>0</DocSecurity>
  <Lines>115</Lines>
  <Paragraphs>32</Paragraphs>
  <ScaleCrop>false</ScaleCrop>
  <Company/>
  <LinksUpToDate>false</LinksUpToDate>
  <CharactersWithSpaces>16316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2020-12-25T07:03:00Z</dcterms:created>
  <dcterms:modified xsi:type="dcterms:W3CDTF">2020-12-25T07:04:00Z</dcterms:modified>
</cp:coreProperties>
</file>